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17324D"/>
          <w:sz w:val="48"/>
        </w:rPr>
        <w:t>Guía de carga de datos</w:t>
      </w:r>
    </w:p>
    <w:p>
      <w:pPr>
        <w:spacing w:after="240"/>
      </w:pPr>
      <w:r>
        <w:rPr>
          <w:color w:val="4B5563"/>
          <w:sz w:val="24"/>
        </w:rPr>
        <w:t>Production Studio - plantilla oficial para validación con datos reales</w:t>
      </w:r>
    </w:p>
    <w:tbl>
      <w:tblPr>
        <w:tblStyle w:val="TableGrid"/>
        <w:tblW w:type="dxa" w:w="9360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592"/>
            <w:shd w:fill="17324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Campo</w:t>
            </w:r>
          </w:p>
        </w:tc>
        <w:tc>
          <w:tcPr>
            <w:tcW w:type="dxa" w:w="6768"/>
            <w:shd w:fill="17324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Valor</w:t>
            </w:r>
          </w:p>
        </w:tc>
      </w:tr>
      <w:t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Aplicacion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Production Studio / OFM Production Studio</w:t>
            </w:r>
          </w:p>
        </w:tc>
      </w:tr>
      <w:t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Archivo de carga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01_Plantilla_Carga_Datos_Production_Studio.xlsx</w:t>
            </w:r>
          </w:p>
        </w:tc>
      </w:tr>
      <w:t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Hoja que importa el software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Production_Data</w:t>
            </w:r>
          </w:p>
        </w:tc>
      </w:tr>
      <w:t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Fecha de esta guia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2026-06-29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EEF5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17324D"/>
                <w:sz w:val="21"/>
              </w:rPr>
              <w:t>Regla de oro:</w:t>
            </w:r>
            <w:r>
              <w:rPr>
                <w:color w:val="111827"/>
                <w:sz w:val="20"/>
              </w:rPr>
              <w:t xml:space="preserve"> una fila representa un pozo en una fecha. La fecha puede ser diaria o mensual; la aplicación normaliza los datos a meses para los análisis.</w:t>
            </w:r>
          </w:p>
        </w:tc>
      </w:tr>
    </w:tbl>
    <w:p/>
    <w:p>
      <w:pPr>
        <w:pStyle w:val="Heading1"/>
      </w:pPr>
      <w:r>
        <w:t>1. Qué archivo debe cargar el usuario</w:t>
      </w:r>
    </w:p>
    <w:p>
      <w:r>
        <w:rPr>
          <w:b/>
        </w:rPr>
        <w:t xml:space="preserve">Formato recomendado: </w:t>
      </w:r>
      <w:r>
        <w:t xml:space="preserve">un único archivo Excel .xlsx con una hoja llamada </w:t>
      </w:r>
      <w:r>
        <w:rPr>
          <w:b/>
        </w:rPr>
        <w:t>Production_Data</w:t>
      </w:r>
      <w:r>
        <w:t>. También se aceptan .xls, .xlsm, .csv y .txt, pero Excel es el formato más claro para clientes.</w:t>
      </w:r>
    </w:p>
    <w:p>
      <w:pPr>
        <w:pStyle w:val="ListBullet"/>
        <w:spacing w:after="80"/>
      </w:pPr>
      <w:r>
        <w:rPr>
          <w:color w:val="111827"/>
          <w:sz w:val="21"/>
        </w:rPr>
        <w:t>No cambie los nombres de las columnas de la plantilla si no es necesario.</w:t>
      </w:r>
    </w:p>
    <w:p>
      <w:pPr>
        <w:pStyle w:val="ListBullet"/>
        <w:spacing w:after="80"/>
      </w:pPr>
      <w:r>
        <w:rPr>
          <w:color w:val="111827"/>
          <w:sz w:val="21"/>
        </w:rPr>
        <w:t>Puede borrar las filas de ejemplo y pegar sus datos desde la fila 2.</w:t>
      </w:r>
    </w:p>
    <w:p>
      <w:pPr>
        <w:pStyle w:val="ListBullet"/>
        <w:spacing w:after="80"/>
      </w:pPr>
      <w:r>
        <w:rPr>
          <w:color w:val="111827"/>
          <w:sz w:val="21"/>
        </w:rPr>
        <w:t>No escriba unidades dentro de las celdas; las unidades van en el diccionario, no mezcladas con números.</w:t>
      </w:r>
    </w:p>
    <w:p>
      <w:pPr>
        <w:pStyle w:val="ListBullet"/>
        <w:spacing w:after="80"/>
      </w:pPr>
      <w:r>
        <w:rPr>
          <w:color w:val="111827"/>
          <w:sz w:val="21"/>
        </w:rPr>
        <w:t>Si existen varias completaciones por pozo, use una fila por pozo-fecha-completación.</w:t>
      </w:r>
    </w:p>
    <w:p>
      <w:pPr>
        <w:pStyle w:val="ListBullet"/>
        <w:spacing w:after="80"/>
      </w:pPr>
      <w:r>
        <w:rPr>
          <w:color w:val="111827"/>
          <w:sz w:val="21"/>
        </w:rPr>
        <w:t>Si el libro tiene varias hojas, mantenga la hoja de datos con el nombre Production_Data.</w:t>
      </w:r>
    </w:p>
    <w:p>
      <w:pPr>
        <w:pStyle w:val="Heading1"/>
      </w:pPr>
      <w:r>
        <w:t>2. Columnas obligatorias</w:t>
      </w:r>
    </w:p>
    <w:tbl>
      <w:tblPr>
        <w:tblStyle w:val="TableGrid"/>
        <w:tblW w:type="dxa" w:w="9360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rPr>
          <w:tblHeader w:val="true"/>
        </w:trPr>
        <w:tc>
          <w:tcPr>
            <w:tcW w:type="dxa" w:w="1440"/>
            <w:shd w:fill="D977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Columna</w:t>
            </w:r>
          </w:p>
        </w:tc>
        <w:tc>
          <w:tcPr>
            <w:tcW w:type="dxa" w:w="1440"/>
            <w:shd w:fill="D977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Unidad</w:t>
            </w:r>
          </w:p>
        </w:tc>
        <w:tc>
          <w:tcPr>
            <w:tcW w:type="dxa" w:w="3168"/>
            <w:shd w:fill="D977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Descripcion</w:t>
            </w:r>
          </w:p>
        </w:tc>
        <w:tc>
          <w:tcPr>
            <w:tcW w:type="dxa" w:w="2304"/>
            <w:shd w:fill="D977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Alias aceptados</w:t>
            </w:r>
          </w:p>
        </w:tc>
        <w:tc>
          <w:tcPr>
            <w:tcW w:type="dxa" w:w="1008"/>
            <w:shd w:fill="D977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Ejemplo</w:t>
            </w:r>
          </w:p>
        </w:tc>
      </w:tr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date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yyyy-mm-dd</w:t>
            </w:r>
          </w:p>
        </w:tc>
        <w:tc>
          <w:tcPr>
            <w:tcW w:type="dxa" w:w="31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Fecha diaria o mensual del registro.</w:t>
            </w:r>
          </w:p>
        </w:tc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date, fecha, month, mes, period, periodo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2025-01-01</w:t>
            </w:r>
          </w:p>
        </w:tc>
      </w:tr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well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texto</w:t>
            </w:r>
          </w:p>
        </w:tc>
        <w:tc>
          <w:tcPr>
            <w:tcW w:type="dxa" w:w="31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Nombre único del pozo.</w:t>
            </w:r>
          </w:p>
        </w:tc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well, pozo, well_name, nombre_pozo, uwi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P-001</w:t>
            </w:r>
          </w:p>
        </w:tc>
      </w:tr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oil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BOPD</w:t>
            </w:r>
          </w:p>
        </w:tc>
        <w:tc>
          <w:tcPr>
            <w:tcW w:type="dxa" w:w="31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Tasa de petróleo. Para inyectores use 0.</w:t>
            </w:r>
          </w:p>
        </w:tc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oil, qo, oil_rate, petroleo, aceite, bopd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350.0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FF4E6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17324D"/>
                <w:sz w:val="21"/>
              </w:rPr>
              <w:t>Importante:</w:t>
            </w:r>
            <w:r>
              <w:rPr>
                <w:color w:val="111827"/>
                <w:sz w:val="20"/>
              </w:rPr>
              <w:t xml:space="preserve"> sin date, well y oil la aplicación no debe importar el archivo. Para pozos inyectores, oil debe cargarse como 0.</w:t>
            </w:r>
          </w:p>
        </w:tc>
      </w:tr>
    </w:tbl>
    <w:p/>
    <w:p>
      <w:pPr>
        <w:pStyle w:val="Heading1"/>
      </w:pPr>
      <w:r>
        <w:t>3. Columnas recomendadas según el módulo que quiera evaluar</w:t>
      </w:r>
    </w:p>
    <w:tbl>
      <w:tblPr>
        <w:tblStyle w:val="TableGrid"/>
        <w:tblW w:type="dxa" w:w="936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2232"/>
            <w:shd w:fill="17324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Modulo</w:t>
            </w:r>
          </w:p>
        </w:tc>
        <w:tc>
          <w:tcPr>
            <w:tcW w:type="dxa" w:w="3672"/>
            <w:shd w:fill="17324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Columnas clave</w:t>
            </w:r>
          </w:p>
        </w:tc>
        <w:tc>
          <w:tcPr>
            <w:tcW w:type="dxa" w:w="3456"/>
            <w:shd w:fill="17324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Para que sirven</w:t>
            </w:r>
          </w:p>
        </w:tc>
      </w:tr>
      <w:tr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Carga básica / dashboard</w:t>
            </w:r>
          </w:p>
        </w:tc>
        <w:tc>
          <w:tcPr>
            <w:tcW w:type="dxa" w:w="36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date, well, oil</w:t>
            </w:r>
          </w:p>
        </w:tc>
        <w:tc>
          <w:tcPr>
            <w:tcW w:type="dxa" w:w="34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Permite importar, graficar Qo y hacer una revisión mínima.</w:t>
            </w:r>
          </w:p>
        </w:tc>
      </w:tr>
      <w:tr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Vigilancia de producción</w:t>
            </w:r>
          </w:p>
        </w:tc>
        <w:tc>
          <w:tcPr>
            <w:tcW w:type="dxa" w:w="36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water, gas, uptime, status</w:t>
            </w:r>
          </w:p>
        </w:tc>
        <w:tc>
          <w:tcPr>
            <w:tcW w:type="dxa" w:w="34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Habilita water cut, GOR, WOR, normalización y alertas más confiables.</w:t>
            </w:r>
          </w:p>
        </w:tc>
      </w:tr>
      <w:tr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DCA, forecast y EUR</w:t>
            </w:r>
          </w:p>
        </w:tc>
        <w:tc>
          <w:tcPr>
            <w:tcW w:type="dxa" w:w="36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date, well, oil, uptime</w:t>
            </w:r>
          </w:p>
        </w:tc>
        <w:tc>
          <w:tcPr>
            <w:tcW w:type="dxa" w:w="34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Mejora la calidad del ajuste y evita interpretar paros como declinación.</w:t>
            </w:r>
          </w:p>
        </w:tc>
      </w:tr>
      <w:tr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Mapas de burbuja y mapa 4D</w:t>
            </w:r>
          </w:p>
        </w:tc>
        <w:tc>
          <w:tcPr>
            <w:tcW w:type="dxa" w:w="36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x, y, field, reservoir, oil, water, gas, injection</w:t>
            </w:r>
          </w:p>
        </w:tc>
        <w:tc>
          <w:tcPr>
            <w:tcW w:type="dxa" w:w="34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Permite ver patrones espaciales por acumulados, tasas, corte de agua e inyección.</w:t>
            </w:r>
          </w:p>
        </w:tc>
      </w:tr>
      <w:tr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Waterflood CRM</w:t>
            </w:r>
          </w:p>
        </w:tc>
        <w:tc>
          <w:tcPr>
            <w:tcW w:type="dxa" w:w="36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well_type, injection, x, y, reservoir, pressure</w:t>
            </w:r>
          </w:p>
        </w:tc>
        <w:tc>
          <w:tcPr>
            <w:tcW w:type="dxa" w:w="34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Permite evaluar conectividad inyector-productor y tiempos de respuesta.</w:t>
            </w:r>
          </w:p>
        </w:tc>
      </w:tr>
      <w:tr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Workovers / intervenciones</w:t>
            </w:r>
          </w:p>
        </w:tc>
        <w:tc>
          <w:tcPr>
            <w:tcW w:type="dxa" w:w="36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event, event_cost</w:t>
            </w:r>
          </w:p>
        </w:tc>
        <w:tc>
          <w:tcPr>
            <w:tcW w:type="dxa" w:w="34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Permite comparar pronóstico vs resultado real e incremental económico.</w:t>
            </w:r>
          </w:p>
        </w:tc>
      </w:tr>
      <w:tr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Levantamiento artificial</w:t>
            </w:r>
          </w:p>
        </w:tc>
        <w:tc>
          <w:tcPr>
            <w:tcW w:type="dxa" w:w="36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lift_type, frequency, pump_depth, pwf, reservoir_pressure, motor_hp, pump_diameter, stroke_length, spm, gas_lift_rate</w:t>
            </w:r>
          </w:p>
        </w:tc>
        <w:tc>
          <w:tcPr>
            <w:tcW w:type="dxa" w:w="34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Habilita diagnósticos ESP, bombeo mecánico y gas lift.</w:t>
            </w:r>
          </w:p>
        </w:tc>
      </w:tr>
      <w:tr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Portafolio y facilidades</w:t>
            </w:r>
          </w:p>
        </w:tc>
        <w:tc>
          <w:tcPr>
            <w:tcW w:type="dxa" w:w="36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field, reservoir, status, uptime, oil, water, gas, injection, event_cost</w:t>
            </w:r>
          </w:p>
        </w:tc>
        <w:tc>
          <w:tcPr>
            <w:tcW w:type="dxa" w:w="34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Mejora priorización de oportunidades y restricciones operativas.</w:t>
            </w:r>
          </w:p>
        </w:tc>
      </w:tr>
    </w:tbl>
    <w:p/>
    <w:p>
      <w:pPr>
        <w:pStyle w:val="Heading1"/>
      </w:pPr>
      <w:r>
        <w:t>4. Niveles de carga recomendados</w:t>
      </w:r>
    </w:p>
    <w:tbl>
      <w:tblPr>
        <w:tblStyle w:val="TableGrid"/>
        <w:tblW w:type="dxa" w:w="936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1440"/>
            <w:shd w:fill="2A9D6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Nivel</w:t>
            </w:r>
          </w:p>
        </w:tc>
        <w:tc>
          <w:tcPr>
            <w:tcW w:type="dxa" w:w="4608"/>
            <w:shd w:fill="2A9D6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Datos minimos</w:t>
            </w:r>
          </w:p>
        </w:tc>
        <w:tc>
          <w:tcPr>
            <w:tcW w:type="dxa" w:w="3312"/>
            <w:shd w:fill="2A9D6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Uso recomendado</w:t>
            </w:r>
          </w:p>
        </w:tc>
      </w:tr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Básico</w:t>
            </w:r>
          </w:p>
        </w:tc>
        <w:tc>
          <w:tcPr>
            <w:tcW w:type="dxa" w:w="46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date, well, oil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Para probar importación, gráficos por pozo y tablero simple.</w:t>
            </w:r>
          </w:p>
        </w:tc>
      </w:tr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Medio</w:t>
            </w:r>
          </w:p>
        </w:tc>
        <w:tc>
          <w:tcPr>
            <w:tcW w:type="dxa" w:w="46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Básico + water, gas, uptime, field, reservoir, well_type, x, y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Para vigilancia, mapas, comparación de pozos, DCA y diagnóstico de agua/gas.</w:t>
            </w:r>
          </w:p>
        </w:tc>
      </w:tr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Avanzado</w:t>
            </w:r>
          </w:p>
        </w:tc>
        <w:tc>
          <w:tcPr>
            <w:tcW w:type="dxa" w:w="46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Medio + injection, pressure, event, event_cost, datos de levantamiento artificial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Para CRM, optimización de inyección, aprendizaje de intervenciones, portafolio y productividad.</w:t>
            </w:r>
          </w:p>
        </w:tc>
      </w:tr>
    </w:tbl>
    <w:p/>
    <w:p>
      <w:pPr>
        <w:pStyle w:val="Heading1"/>
      </w:pPr>
      <w:r>
        <w:t>5. Como llenar la hoja Production_Data</w:t>
      </w:r>
    </w:p>
    <w:p>
      <w:pPr>
        <w:pStyle w:val="ListNumber"/>
        <w:spacing w:after="80"/>
      </w:pPr>
      <w:r>
        <w:rPr>
          <w:color w:val="111827"/>
          <w:sz w:val="21"/>
        </w:rPr>
        <w:t>Abra 01_Plantilla_Carga_Datos_Production_Studio.xlsx.</w:t>
      </w:r>
    </w:p>
    <w:p>
      <w:pPr>
        <w:pStyle w:val="ListNumber"/>
        <w:spacing w:after="80"/>
      </w:pPr>
      <w:r>
        <w:rPr>
          <w:color w:val="111827"/>
          <w:sz w:val="21"/>
        </w:rPr>
        <w:t>Entre a la hoja Production_Data.</w:t>
      </w:r>
    </w:p>
    <w:p>
      <w:pPr>
        <w:pStyle w:val="ListNumber"/>
        <w:spacing w:after="80"/>
      </w:pPr>
      <w:r>
        <w:rPr>
          <w:color w:val="111827"/>
          <w:sz w:val="21"/>
        </w:rPr>
        <w:t>Borre las filas de ejemplo desde la fila 2 hacia abajo; no borre la fila 1 de encabezados.</w:t>
      </w:r>
    </w:p>
    <w:p>
      <w:pPr>
        <w:pStyle w:val="ListNumber"/>
        <w:spacing w:after="80"/>
      </w:pPr>
      <w:r>
        <w:rPr>
          <w:color w:val="111827"/>
          <w:sz w:val="21"/>
        </w:rPr>
        <w:t>Pegue sus datos reales respetando una fila por pozo-fecha.</w:t>
      </w:r>
    </w:p>
    <w:p>
      <w:pPr>
        <w:pStyle w:val="ListNumber"/>
        <w:spacing w:after="80"/>
      </w:pPr>
      <w:r>
        <w:rPr>
          <w:color w:val="111827"/>
          <w:sz w:val="21"/>
        </w:rPr>
        <w:t>Use fechas reales de Excel o texto tipo 2025-01-01.</w:t>
      </w:r>
    </w:p>
    <w:p>
      <w:pPr>
        <w:pStyle w:val="ListNumber"/>
        <w:spacing w:after="80"/>
      </w:pPr>
      <w:r>
        <w:rPr>
          <w:color w:val="111827"/>
          <w:sz w:val="21"/>
        </w:rPr>
        <w:t>Use tasas promedio del dia o del mes segun la fuente; no cargue acumulados en columnas de tasa.</w:t>
      </w:r>
    </w:p>
    <w:p>
      <w:pPr>
        <w:pStyle w:val="ListNumber"/>
        <w:spacing w:after="80"/>
      </w:pPr>
      <w:r>
        <w:rPr>
          <w:color w:val="111827"/>
          <w:sz w:val="21"/>
        </w:rPr>
        <w:t>Para inyectores use well_type=INJECTOR, oil=0, water=0, gas=0 e injection mayor que 0.</w:t>
      </w:r>
    </w:p>
    <w:p>
      <w:pPr>
        <w:pStyle w:val="ListNumber"/>
        <w:spacing w:after="80"/>
      </w:pPr>
      <w:r>
        <w:rPr>
          <w:color w:val="111827"/>
          <w:sz w:val="21"/>
        </w:rPr>
        <w:t>Guarde el archivo y en la aplicación ejecute Validar archivo antes de Importar producción.</w:t>
      </w:r>
    </w:p>
    <w:p>
      <w:pPr>
        <w:pStyle w:val="Heading1"/>
      </w:pPr>
      <w:r>
        <w:t>6. Ejemplos de filas correctas</w:t>
      </w:r>
    </w:p>
    <w:tbl>
      <w:tblPr>
        <w:tblStyle w:val="TableGrid"/>
        <w:tblW w:type="dxa" w:w="9360"/>
        <w:tblLook w:firstColumn="1" w:firstRow="1" w:lastColumn="0" w:lastRow="0" w:noHBand="0" w:noVBand="1" w:val="04A0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>
        <w:trPr>
          <w:tblHeader w:val="true"/>
        </w:trPr>
        <w:tc>
          <w:tcPr>
            <w:tcW w:type="dxa" w:w="1656"/>
            <w:shd w:fill="17324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Caso</w:t>
            </w:r>
          </w:p>
        </w:tc>
        <w:tc>
          <w:tcPr>
            <w:tcW w:type="dxa" w:w="1296"/>
            <w:shd w:fill="17324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date</w:t>
            </w:r>
          </w:p>
        </w:tc>
        <w:tc>
          <w:tcPr>
            <w:tcW w:type="dxa" w:w="1008"/>
            <w:shd w:fill="17324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well</w:t>
            </w:r>
          </w:p>
        </w:tc>
        <w:tc>
          <w:tcPr>
            <w:tcW w:type="dxa" w:w="648"/>
            <w:shd w:fill="17324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oil</w:t>
            </w:r>
          </w:p>
        </w:tc>
        <w:tc>
          <w:tcPr>
            <w:tcW w:type="dxa" w:w="720"/>
            <w:shd w:fill="17324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water</w:t>
            </w:r>
          </w:p>
        </w:tc>
        <w:tc>
          <w:tcPr>
            <w:tcW w:type="dxa" w:w="648"/>
            <w:shd w:fill="17324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gas</w:t>
            </w:r>
          </w:p>
        </w:tc>
        <w:tc>
          <w:tcPr>
            <w:tcW w:type="dxa" w:w="1008"/>
            <w:shd w:fill="17324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injection</w:t>
            </w:r>
          </w:p>
        </w:tc>
        <w:tc>
          <w:tcPr>
            <w:tcW w:type="dxa" w:w="792"/>
            <w:shd w:fill="17324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uptime</w:t>
            </w:r>
          </w:p>
        </w:tc>
        <w:tc>
          <w:tcPr>
            <w:tcW w:type="dxa" w:w="1152"/>
            <w:shd w:fill="17324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well_type</w:t>
            </w:r>
          </w:p>
        </w:tc>
        <w:tc>
          <w:tcPr>
            <w:tcW w:type="dxa" w:w="1152"/>
            <w:shd w:fill="17324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lift_type</w:t>
            </w:r>
          </w:p>
        </w:tc>
      </w:tr>
      <w:tr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Productor ESP</w:t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2025-01-01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P-001</w:t>
            </w:r>
          </w:p>
        </w:tc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350</w:t>
            </w:r>
          </w:p>
        </w:tc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120</w:t>
            </w:r>
          </w:p>
        </w:tc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280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0</w:t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0.92</w:t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PRODUCER</w:t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ESP</w:t>
            </w:r>
          </w:p>
        </w:tc>
      </w:tr>
      <w:tr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Productor bombeo mecanico</w:t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2025-01-01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P-002</w:t>
            </w:r>
          </w:p>
        </w:tc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280</w:t>
            </w:r>
          </w:p>
        </w:tc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210</w:t>
            </w:r>
          </w:p>
        </w:tc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250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0</w:t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27</w:t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PRODUCER</w:t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ROD PUMP</w:t>
            </w:r>
          </w:p>
        </w:tc>
      </w:tr>
      <w:tr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Productor gas lift</w:t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2025-01-01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P-003</w:t>
            </w:r>
          </w:p>
        </w:tc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190</w:t>
            </w:r>
          </w:p>
        </w:tc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390</w:t>
            </w:r>
          </w:p>
        </w:tc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180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0</w:t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90</w:t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PRODUCER</w:t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GAS LIFT</w:t>
            </w:r>
          </w:p>
        </w:tc>
      </w:tr>
      <w:tr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Inyector</w:t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2025-01-01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I-001</w:t>
            </w:r>
          </w:p>
        </w:tc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0</w:t>
            </w:r>
          </w:p>
        </w:tc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0</w:t>
            </w:r>
          </w:p>
        </w:tc>
        <w:tc>
          <w:tcPr>
            <w:tcW w:type="dxa" w:w="6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0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950</w:t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0.97</w:t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INJECTOR</w:t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N/A</w:t>
            </w:r>
          </w:p>
        </w:tc>
      </w:tr>
    </w:tbl>
    <w:p/>
    <w:p>
      <w:pPr>
        <w:pStyle w:val="Heading1"/>
      </w:pPr>
      <w:r>
        <w:t>7. Reglas de unidades</w:t>
      </w:r>
    </w:p>
    <w:tbl>
      <w:tblPr>
        <w:tblStyle w:val="TableGrid"/>
        <w:tblW w:type="dxa" w:w="936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1728"/>
            <w:shd w:fill="17324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Columna</w:t>
            </w:r>
          </w:p>
        </w:tc>
        <w:tc>
          <w:tcPr>
            <w:tcW w:type="dxa" w:w="2160"/>
            <w:shd w:fill="17324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Unidad esperada</w:t>
            </w:r>
          </w:p>
        </w:tc>
        <w:tc>
          <w:tcPr>
            <w:tcW w:type="dxa" w:w="5472"/>
            <w:shd w:fill="17324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Nota</w:t>
            </w:r>
          </w:p>
        </w:tc>
      </w:tr>
      <w:tr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oil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BOPD</w:t>
            </w:r>
          </w:p>
        </w:tc>
        <w:tc>
          <w:tcPr>
            <w:tcW w:type="dxa" w:w="54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Tasa de petróleo. No cargar Np acumulado aquí.</w:t>
            </w:r>
          </w:p>
        </w:tc>
      </w:tr>
      <w:tr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water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BWPD</w:t>
            </w:r>
          </w:p>
        </w:tc>
        <w:tc>
          <w:tcPr>
            <w:tcW w:type="dxa" w:w="54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Tasa de agua producida.</w:t>
            </w:r>
          </w:p>
        </w:tc>
      </w:tr>
      <w:tr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gas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Mscf/d</w:t>
            </w:r>
          </w:p>
        </w:tc>
        <w:tc>
          <w:tcPr>
            <w:tcW w:type="dxa" w:w="54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Si su fuente está en MMscf/d, multiplique por 1000 antes de cargar.</w:t>
            </w:r>
          </w:p>
        </w:tc>
      </w:tr>
      <w:tr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injection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BWIPD</w:t>
            </w:r>
          </w:p>
        </w:tc>
        <w:tc>
          <w:tcPr>
            <w:tcW w:type="dxa" w:w="54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Tasa de inyección de agua por inyector.</w:t>
            </w:r>
          </w:p>
        </w:tc>
      </w:tr>
      <w:tr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uptime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0-1, %, o días</w:t>
            </w:r>
          </w:p>
        </w:tc>
        <w:tc>
          <w:tcPr>
            <w:tcW w:type="dxa" w:w="54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La app acepta 0.92, 92 o 27 y lo convierte internamente.</w:t>
            </w:r>
          </w:p>
        </w:tc>
      </w:tr>
      <w:tr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pressure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psi</w:t>
            </w:r>
          </w:p>
        </w:tc>
        <w:tc>
          <w:tcPr>
            <w:tcW w:type="dxa" w:w="54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Use una definición consistente: fondo, cabeza o reservorio según la fuente.</w:t>
            </w:r>
          </w:p>
        </w:tc>
      </w:tr>
      <w:tr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x / y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UTM/local o lon/lat</w:t>
            </w:r>
          </w:p>
        </w:tc>
        <w:tc>
          <w:tcPr>
            <w:tcW w:type="dxa" w:w="54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No mezcle sistemas de coordenadas dentro del mismo archivo.</w:t>
            </w:r>
          </w:p>
        </w:tc>
      </w:tr>
    </w:tbl>
    <w:p/>
    <w:p>
      <w:pPr>
        <w:pStyle w:val="Heading1"/>
      </w:pPr>
      <w:r>
        <w:t>8. Validación antes de entregar el archivo al evaluador</w:t>
      </w:r>
    </w:p>
    <w:p>
      <w:pPr>
        <w:pStyle w:val="ListBullet"/>
        <w:spacing w:after="80"/>
      </w:pPr>
      <w:r>
        <w:rPr>
          <w:color w:val="111827"/>
          <w:sz w:val="21"/>
        </w:rPr>
        <w:t>La hoja se llama Production_Data.</w:t>
      </w:r>
    </w:p>
    <w:p>
      <w:pPr>
        <w:pStyle w:val="ListBullet"/>
        <w:spacing w:after="80"/>
      </w:pPr>
      <w:r>
        <w:rPr>
          <w:color w:val="111827"/>
          <w:sz w:val="21"/>
        </w:rPr>
        <w:t>Existen date, well y oil.</w:t>
      </w:r>
    </w:p>
    <w:p>
      <w:pPr>
        <w:pStyle w:val="ListBullet"/>
        <w:spacing w:after="80"/>
      </w:pPr>
      <w:r>
        <w:rPr>
          <w:color w:val="111827"/>
          <w:sz w:val="21"/>
        </w:rPr>
        <w:t>No hay pozos sin nombre.</w:t>
      </w:r>
    </w:p>
    <w:p>
      <w:pPr>
        <w:pStyle w:val="ListBullet"/>
        <w:spacing w:after="80"/>
      </w:pPr>
      <w:r>
        <w:rPr>
          <w:color w:val="111827"/>
          <w:sz w:val="21"/>
        </w:rPr>
        <w:t>Las fechas son interpretables.</w:t>
      </w:r>
    </w:p>
    <w:p>
      <w:pPr>
        <w:pStyle w:val="ListBullet"/>
        <w:spacing w:after="80"/>
      </w:pPr>
      <w:r>
        <w:rPr>
          <w:color w:val="111827"/>
          <w:sz w:val="21"/>
        </w:rPr>
        <w:t>oil, water, gas e injection son numéricos y no negativos.</w:t>
      </w:r>
    </w:p>
    <w:p>
      <w:pPr>
        <w:pStyle w:val="ListBullet"/>
        <w:spacing w:after="80"/>
      </w:pPr>
      <w:r>
        <w:rPr>
          <w:color w:val="111827"/>
          <w:sz w:val="21"/>
        </w:rPr>
        <w:t>Los inyectores tienen injection &gt; 0 y well_type=INJECTOR.</w:t>
      </w:r>
    </w:p>
    <w:p>
      <w:pPr>
        <w:pStyle w:val="ListBullet"/>
        <w:spacing w:after="80"/>
      </w:pPr>
      <w:r>
        <w:rPr>
          <w:color w:val="111827"/>
          <w:sz w:val="21"/>
        </w:rPr>
        <w:t>Las coordenadas X/Y estan completas si se evaluaran mapas o waterflood.</w:t>
      </w:r>
    </w:p>
    <w:p>
      <w:pPr>
        <w:pStyle w:val="ListBullet"/>
        <w:spacing w:after="80"/>
      </w:pPr>
      <w:r>
        <w:rPr>
          <w:color w:val="111827"/>
          <w:sz w:val="21"/>
        </w:rPr>
        <w:t>Campo, reservorio y completación están completos si se requieren filtros por zona.</w:t>
      </w:r>
    </w:p>
    <w:p>
      <w:pPr>
        <w:pStyle w:val="ListBullet"/>
        <w:spacing w:after="80"/>
      </w:pPr>
      <w:r>
        <w:rPr>
          <w:color w:val="111827"/>
          <w:sz w:val="21"/>
        </w:rPr>
        <w:t>Los eventos/workovers tienen event y event_cost cuando se evaluara aprendizaje de intervenciones.</w:t>
      </w:r>
    </w:p>
    <w:p>
      <w:pPr>
        <w:pStyle w:val="ListBullet"/>
        <w:spacing w:after="80"/>
      </w:pPr>
      <w:r>
        <w:rPr>
          <w:color w:val="111827"/>
          <w:sz w:val="21"/>
        </w:rPr>
        <w:t>El archivo fue revisado con el botón Validar archivo antes de Importar producción.</w:t>
      </w:r>
    </w:p>
    <w:p>
      <w:pPr>
        <w:pStyle w:val="Heading1"/>
      </w:pPr>
      <w:r>
        <w:t>9. Errores tipicos que se deben evitar</w:t>
      </w:r>
    </w:p>
    <w:tbl>
      <w:tblPr>
        <w:tblStyle w:val="TableGrid"/>
        <w:tblW w:type="dxa" w:w="9360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032"/>
            <w:shd w:fill="9B1C1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Error</w:t>
            </w:r>
          </w:p>
        </w:tc>
        <w:tc>
          <w:tcPr>
            <w:tcW w:type="dxa" w:w="5328"/>
            <w:shd w:fill="9B1C1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Correccion</w:t>
            </w:r>
          </w:p>
        </w:tc>
      </w:tr>
      <w:tr>
        <w:tc>
          <w:tcPr>
            <w:tcW w:type="dxa" w:w="4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Cambiar encabezados obligatorios por nombres no reconocibles.</w:t>
            </w:r>
          </w:p>
        </w:tc>
        <w:tc>
          <w:tcPr>
            <w:tcW w:type="dxa" w:w="53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Use date, well y oil o sus alias aceptados.</w:t>
            </w:r>
          </w:p>
        </w:tc>
      </w:tr>
      <w:tr>
        <w:tc>
          <w:tcPr>
            <w:tcW w:type="dxa" w:w="4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Pegar acumulados en oil/water/gas.</w:t>
            </w:r>
          </w:p>
        </w:tc>
        <w:tc>
          <w:tcPr>
            <w:tcW w:type="dxa" w:w="53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Cargue tasas; los acumulados los calcula la app.</w:t>
            </w:r>
          </w:p>
        </w:tc>
      </w:tr>
      <w:tr>
        <w:tc>
          <w:tcPr>
            <w:tcW w:type="dxa" w:w="4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Mezclar MMscf/d y Mscf/d en gas.</w:t>
            </w:r>
          </w:p>
        </w:tc>
        <w:tc>
          <w:tcPr>
            <w:tcW w:type="dxa" w:w="53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Normalice gas a Mscf/d.</w:t>
            </w:r>
          </w:p>
        </w:tc>
      </w:tr>
      <w:tr>
        <w:tc>
          <w:tcPr>
            <w:tcW w:type="dxa" w:w="4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Usar varios nombres para el mismo pozo.</w:t>
            </w:r>
          </w:p>
        </w:tc>
        <w:tc>
          <w:tcPr>
            <w:tcW w:type="dxa" w:w="53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Mantenga un identificador único y consistente.</w:t>
            </w:r>
          </w:p>
        </w:tc>
      </w:tr>
      <w:tr>
        <w:tc>
          <w:tcPr>
            <w:tcW w:type="dxa" w:w="4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Poner unidades dentro de las celdas.</w:t>
            </w:r>
          </w:p>
        </w:tc>
        <w:tc>
          <w:tcPr>
            <w:tcW w:type="dxa" w:w="53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Use solo numeros: 350, no 350 BOPD.</w:t>
            </w:r>
          </w:p>
        </w:tc>
      </w:tr>
      <w:tr>
        <w:tc>
          <w:tcPr>
            <w:tcW w:type="dxa" w:w="4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Usar coordenadas de sistemas distintos.</w:t>
            </w:r>
          </w:p>
        </w:tc>
        <w:tc>
          <w:tcPr>
            <w:tcW w:type="dxa" w:w="53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Todo UTM/local o todo lon/lat, pero no mezclado.</w:t>
            </w:r>
          </w:p>
        </w:tc>
      </w:tr>
      <w:tr>
        <w:tc>
          <w:tcPr>
            <w:tcW w:type="dxa" w:w="40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Cargar inyectores como productores.</w:t>
            </w:r>
          </w:p>
        </w:tc>
        <w:tc>
          <w:tcPr>
            <w:tcW w:type="dxa" w:w="53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well_type=INJECTOR e injection &gt; 0.</w:t>
            </w:r>
          </w:p>
        </w:tc>
      </w:tr>
    </w:tbl>
    <w:p/>
    <w:p>
      <w:pPr>
        <w:pStyle w:val="Heading1"/>
      </w:pPr>
      <w:r>
        <w:t>10. Diccionario completo de columnas</w:t>
      </w:r>
    </w:p>
    <w:tbl>
      <w:tblPr>
        <w:tblStyle w:val="TableGrid"/>
        <w:tblW w:type="dxa" w:w="9360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rPr>
          <w:tblHeader w:val="true"/>
        </w:trPr>
        <w:tc>
          <w:tcPr>
            <w:tcW w:type="dxa" w:w="1584"/>
            <w:shd w:fill="17324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Columna</w:t>
            </w:r>
          </w:p>
        </w:tc>
        <w:tc>
          <w:tcPr>
            <w:tcW w:type="dxa" w:w="1584"/>
            <w:shd w:fill="17324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Prioridad</w:t>
            </w:r>
          </w:p>
        </w:tc>
        <w:tc>
          <w:tcPr>
            <w:tcW w:type="dxa" w:w="1440"/>
            <w:shd w:fill="17324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Unidad</w:t>
            </w:r>
          </w:p>
        </w:tc>
        <w:tc>
          <w:tcPr>
            <w:tcW w:type="dxa" w:w="3312"/>
            <w:shd w:fill="17324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Descripcion</w:t>
            </w:r>
          </w:p>
        </w:tc>
        <w:tc>
          <w:tcPr>
            <w:tcW w:type="dxa" w:w="1440"/>
            <w:shd w:fill="17324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Alias principales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date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Obligatoria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yyyy-mm-dd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Fecha diaria o mensual del registro.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date, fecha, month, mes, period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well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Obligatoria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texto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Nombre único del pozo.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well, pozo, well_name, nombre_pozo, uwi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oil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Obligatoria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BOPD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Tasa de petróleo. Para inyectores use 0.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oil, qo, oil_rate, petroleo, aceite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water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BWPD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Tasa de agua producida.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water, qw, water_rate, agua, bwpd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gas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Mscf/d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Tasa de gas. El GOR se calcula como 1000*gas/oil.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gas, qg, gas_rate, mmscfd, mcfd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injection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BWIPD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Tasa de inyección. Para productores use 0.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injection, water_injection, qwi, inyeccion, inyector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uptime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0-1, %, o días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Fracción operativa, porcentaje o días activos del mes.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uptime, availability, disponibilidad, onstream, dias_activo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field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texto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Campo o activo.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field, campo, asset, activo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block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texto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Bloque, concesión o área.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block, bloque, lease, concesion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platform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texto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Pad, cluster o plataforma.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platform, plataforma, pad, cluster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reservoir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texto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Arena, reservorio o formación.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reservoir, reservorio, formation, formacion, sand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completion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texto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Intervalo, completación o zona productora.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completion, completacion, completamiento, interval, intervalo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well_type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PRODUCER/INJECTOR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Clasificación para análisis productor-inyector.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well_type, tipo_pozo, type, tipo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status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texto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Estado operativo del pozo.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status, estado, well_status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x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UTM/local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Este, longitud o coordenada local consistente.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x, easting, este, coord_x, longitude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y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UTM/local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Norte, latitud o coordenada local consistente.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y, northing, norte, coord_y, latitude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pressure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psi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Presión de fondo, cabeza o reservorio según fuente.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pressure, presion, bhp, pr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event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texto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Intervención, workover o evento operacional del mes.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event, evento, workover, intervencion, operation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event_cost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USD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CAPEX/costo directo del evento.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event_cost, costo_evento, workover_cost, costo_intervencion, capex_evento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lift_type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ESP/ROD PUMP/GAS LIFT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Sistema de levantamiento artificial.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lift_type, artificial_lift, levantamiento, sistema_levantamiento, als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frequency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Hz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Frecuencia de operación para ESP.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frequency, frecuencia, esp_frequency, hz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pump_depth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ft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Profundidad de asentamiento de bomba.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pump_depth, profundidad_bomba, setting_depth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reservoir_pressure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psi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Presión de reservorio usada en productividad.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reservoir_pressure, presion_reservorio, pr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pwf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psi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Presión de fondo fluyente.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pwf, flowing_pressure, presion_fondo_fluyente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bubblepoint_pressure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psi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Presión de burbuja.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bubblepoint_pressure, bubblepoint, presion_burbuja, pb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motor_hp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hp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Potencia del motor ESP o bomba.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motor_hp, horsepower, potencia_motor, hp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fluid_sg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adim.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Gravedad específica del fluido.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fluid_sg, gravedad_especifica, specific_gravity, sg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pump_diameter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in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Diámetro/plunger para bombeo mecánico.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pump_diameter, diametro_bomba, plunger_diameter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stroke_length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in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Carrera para bombeo mecánico.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stroke_length, longitud_carrera, stroke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spm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golpes/min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Golpes por minuto en bombeo mecánico.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spm, strokes_per_minute, golpes_por_minuto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gas_lift_rate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Opcional / recomendada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Mscf/d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Gas de inyección para gas lift.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</w:rPr>
              <w:t>gas_lift_rate, gas_injection_rate, inyeccion_gas, glir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2F4F7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17324D"/>
                <w:sz w:val="21"/>
              </w:rPr>
              <w:t>Recomendación final:</w:t>
            </w:r>
            <w:r>
              <w:rPr>
                <w:color w:val="111827"/>
                <w:sz w:val="20"/>
              </w:rPr>
              <w:t xml:space="preserve"> para una validación seria con datos reales, use al menos el nivel Medio. El nivel Básico sirve para probar, pero deja sin valor fuerte los mapas, waterflood, anomalías y portafolio.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748B"/>
        <w:sz w:val="17"/>
      </w:rPr>
      <w:t>Production Studio - Guía de carga de datos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11182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contextualSpacing/>
    </w:pPr>
    <w:rPr>
      <w:rFonts w:ascii="Calibri" w:hAnsi="Calibr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contextualSpacing/>
    </w:pPr>
    <w:rPr>
      <w:rFonts w:ascii="Calibri" w:hAnsi="Calibr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